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-698499</wp:posOffset>
                </wp:positionV>
                <wp:extent cx="1847850" cy="6438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-698499</wp:posOffset>
                </wp:positionV>
                <wp:extent cx="1847850" cy="6438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M.Sc. BOTANY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BO 8322 – Plant Physiology and Metabolism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3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Draw labelled diagrams and give examples where required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following in two or three sentences      5 × 2 = 10</w:t>
      </w:r>
    </w:p>
    <w:p w:rsidR="00000000" w:rsidDel="00000000" w:rsidP="00000000" w:rsidRDefault="00000000" w:rsidRPr="00000000" w14:paraId="0000000D">
      <w:pPr>
        <w:spacing w:after="0" w:line="240" w:lineRule="auto"/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Exergonic reactions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Amylose and amylopectin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 structure of proteins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Lock and key model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Photorespiration is considered a wasteful process, justify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Glyoxylate pathway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of Jasmonic acid in plants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critical notes on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following</w:t>
        <w:tab/>
        <w:tab/>
        <w:tab/>
        <w:t xml:space="preserve">5 × 6 = 30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Synthesis and structure of important plant glycolipids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Derive the Michelis Menten equation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Schematic representation of C4 cycle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Factors affecting rate of transpiration (any 6)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one theory that you have studied which explains stomatal movements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 of nodulation in legumes. Add a note on the factors responsible for it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Physiological significance of Ethylene and its applications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 comprehensive account of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following    2 × 10 = 20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Schematic representation of Glycolysis. Add a note on its significance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Ultrastructure of ATP synthase and the mechanism of ATP synthesis 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33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  <w:t xml:space="preserve">BO 8322_B_23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