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-577214</wp:posOffset>
            </wp:positionH>
            <wp:positionV relativeFrom="paragraph">
              <wp:posOffset>-416559</wp:posOffset>
            </wp:positionV>
            <wp:extent cx="990600" cy="942975"/>
            <wp:effectExtent b="0" l="0" r="0" t="0"/>
            <wp:wrapNone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M.S.W - IV SEMESTER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May-2023)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SWDS0721 – THERAPEUTIC INTERVENTIONS IN SOCIAL WORK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     </w:t>
        <w:tab/>
        <w:t xml:space="preserve">    Max Marks-70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A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</w:t>
        <w:tab/>
        <w:tab/>
        <w:tab/>
        <w:tab/>
        <w:tab/>
        <w:tab/>
        <w:tab/>
        <w:t xml:space="preserve">5 x 5 = 25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art therapy.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JPMR 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understand by cross-cultural clinical social work practice?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any two models of clinical practice.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847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behavioural theory.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847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any two techniques for pain management.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847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‘Yoga provides many obvious physical benefits and now more than ever, we realise its important role in our mental wellness too’- Explain. 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B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THREE questions. </w:t>
        <w:tab/>
        <w:tab/>
        <w:tab/>
        <w:tab/>
        <w:tab/>
        <w:tab/>
        <w:t xml:space="preserve">        3 X 10 = 30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the emergencies in psychiatric care.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mental health interventions related to disaster.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What’s the relevance of research in clinical practice?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‘Indigenous therapeutic techniques are widely to treat physical as well as psychological illness – Substantiate.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five  clinical practice guidelines for assessment of children and adolescents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C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ONE question. </w:t>
        <w:tab/>
        <w:tab/>
        <w:tab/>
        <w:tab/>
        <w:tab/>
        <w:tab/>
        <w:t xml:space="preserve">        1 X 15 = 15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‘NASW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standards for clinical social work in social work practice is intended to guide clinical social workers in all clinical settings’ -Elaborate.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interventions can social workers provide to children in urban school settings?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SWDS0721-A-23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